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D65FA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采购项目基本情况</w:t>
      </w:r>
    </w:p>
    <w:p w14:paraId="0FCA3102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outlineLvl w:val="0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本次采购协同办公管理系统建设，是为四川省轻工业研究设计院有限公司及其子公司高效开展工作而，旨建立公司统一的协同办公平台，强化部门管控职能，贯通公司的办公业务，规范办公业务流程，实现高效的业务协同，保障公司政令畅通，有效地推进工作监督和落实，上下联动、整体协同，从而提升全公司整体管理能力。</w:t>
      </w:r>
      <w:bookmarkStart w:id="1" w:name="_GoBack"/>
      <w:bookmarkEnd w:id="1"/>
    </w:p>
    <w:p w14:paraId="3C8A9723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outlineLvl w:val="0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主要实现以下三个目的，一是及时推进流程的无纸化操作；二是更易于管理和实施，每个模块建设专注于核心的功能的开发和部署，并且在工作中实现闭环管理；三是在系统开发过程中不断提供反馈，确保最终产品更加贴合实际工作需求。</w:t>
      </w:r>
    </w:p>
    <w:p w14:paraId="45B08EC7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outlineLvl w:val="0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（注：以下条款是根据前期调研情况汇总，后期可能会根据实际情况微调；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  <w:t>项为实质性要求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）</w:t>
      </w:r>
    </w:p>
    <w:p w14:paraId="146A09B6">
      <w:pPr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beforeLines="50" w:line="560" w:lineRule="exact"/>
        <w:ind w:left="420" w:leftChars="0" w:firstLine="0" w:firstLineChars="0"/>
        <w:jc w:val="both"/>
        <w:outlineLvl w:val="1"/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</w:rPr>
        <w:t>★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技术要求</w:t>
      </w:r>
    </w:p>
    <w:p w14:paraId="08CED390">
      <w:pPr>
        <w:pStyle w:val="2"/>
        <w:numPr>
          <w:ilvl w:val="-1"/>
          <w:numId w:val="0"/>
        </w:numPr>
        <w:ind w:left="0" w:firstLine="420" w:firstLineChars="200"/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1"/>
          <w:szCs w:val="21"/>
          <w:highlight w:val="none"/>
          <w:lang w:val="en-US" w:eastAsia="zh-CN"/>
        </w:rPr>
        <w:t>1. 独立网络建设 ；2.将轻工院OA数据迁移到振兴OA服务器上 ；3.流程与流程之间、模块与模块之间，需要互相建立关联性，用于数据读取、冲减、报表、可视化建立等使用情况；4.上线范围包括四川省轻工业研究设计院有限公司及其子公司；5.如提供标准模块，同时也需要根据甲方实际情况进行调整或扩展相应内容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98"/>
        <w:gridCol w:w="1254"/>
        <w:gridCol w:w="1282"/>
        <w:gridCol w:w="3919"/>
      </w:tblGrid>
      <w:tr w14:paraId="4F98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82" w:type="dxa"/>
            <w:noWrap w:val="0"/>
            <w:vAlign w:val="top"/>
          </w:tcPr>
          <w:p w14:paraId="1B7FC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bookmarkStart w:id="0" w:name="OLE_LINK3"/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positio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491" w:type="dxa"/>
            <w:noWrap w:val="0"/>
            <w:vAlign w:val="top"/>
          </w:tcPr>
          <w:p w14:paraId="5802F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position w:val="0"/>
                <w:sz w:val="21"/>
                <w:szCs w:val="21"/>
                <w:highlight w:val="none"/>
                <w:lang w:val="en-US" w:eastAsia="zh-CN"/>
              </w:rPr>
              <w:t>大类</w:t>
            </w:r>
          </w:p>
        </w:tc>
        <w:tc>
          <w:tcPr>
            <w:tcW w:w="1333" w:type="dxa"/>
            <w:noWrap w:val="0"/>
            <w:vAlign w:val="top"/>
          </w:tcPr>
          <w:p w14:paraId="709EE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position w:val="0"/>
                <w:sz w:val="21"/>
                <w:szCs w:val="21"/>
                <w:highlight w:val="none"/>
                <w:lang w:val="en-US" w:eastAsia="zh-CN"/>
              </w:rPr>
              <w:t>分类</w:t>
            </w:r>
          </w:p>
        </w:tc>
        <w:tc>
          <w:tcPr>
            <w:tcW w:w="1364" w:type="dxa"/>
            <w:noWrap w:val="0"/>
            <w:vAlign w:val="top"/>
          </w:tcPr>
          <w:p w14:paraId="0849D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position w:val="0"/>
                <w:sz w:val="21"/>
                <w:szCs w:val="21"/>
                <w:highlight w:val="none"/>
                <w:lang w:val="en-US" w:eastAsia="zh-CN"/>
              </w:rPr>
              <w:t>子类</w:t>
            </w:r>
          </w:p>
        </w:tc>
        <w:tc>
          <w:tcPr>
            <w:tcW w:w="4191" w:type="dxa"/>
            <w:noWrap w:val="0"/>
            <w:vAlign w:val="top"/>
          </w:tcPr>
          <w:p w14:paraId="36658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position w:val="0"/>
                <w:sz w:val="21"/>
                <w:szCs w:val="21"/>
                <w:highlight w:val="none"/>
                <w:lang w:val="en-US" w:eastAsia="zh-CN"/>
              </w:rPr>
              <w:t>功能描述</w:t>
            </w:r>
          </w:p>
        </w:tc>
      </w:tr>
      <w:tr w14:paraId="7432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82" w:type="dxa"/>
            <w:noWrap w:val="0"/>
            <w:vAlign w:val="center"/>
          </w:tcPr>
          <w:p w14:paraId="06FF7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</w:p>
        </w:tc>
        <w:tc>
          <w:tcPr>
            <w:tcW w:w="1491" w:type="dxa"/>
            <w:noWrap w:val="0"/>
            <w:vAlign w:val="center"/>
          </w:tcPr>
          <w:p w14:paraId="7F855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组织架构</w:t>
            </w:r>
          </w:p>
        </w:tc>
        <w:tc>
          <w:tcPr>
            <w:tcW w:w="1333" w:type="dxa"/>
            <w:noWrap w:val="0"/>
            <w:vAlign w:val="center"/>
          </w:tcPr>
          <w:p w14:paraId="2E43C3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64" w:type="dxa"/>
            <w:noWrap w:val="0"/>
            <w:vAlign w:val="center"/>
          </w:tcPr>
          <w:p w14:paraId="0C6172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191" w:type="dxa"/>
            <w:noWrap w:val="0"/>
            <w:vAlign w:val="top"/>
          </w:tcPr>
          <w:p w14:paraId="554BD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支持多种类组织结构的矩阵管理，实现不同矩阵日常组织架构业务处理，包括新增、撤销、划转、拆分、合并等业务，组织架构图查询及导出；</w:t>
            </w:r>
          </w:p>
          <w:p w14:paraId="403AE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支持公司及下属公司分权分级管理，一人多岗；支持工作内容、权限部分转移、全部转移</w:t>
            </w:r>
          </w:p>
        </w:tc>
      </w:tr>
      <w:tr w14:paraId="285C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noWrap w:val="0"/>
            <w:vAlign w:val="center"/>
          </w:tcPr>
          <w:p w14:paraId="6EB7E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91" w:type="dxa"/>
            <w:noWrap w:val="0"/>
            <w:vAlign w:val="center"/>
          </w:tcPr>
          <w:p w14:paraId="0C07A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门户管理</w:t>
            </w:r>
          </w:p>
        </w:tc>
        <w:tc>
          <w:tcPr>
            <w:tcW w:w="1333" w:type="dxa"/>
            <w:noWrap w:val="0"/>
            <w:vAlign w:val="center"/>
          </w:tcPr>
          <w:p w14:paraId="071D6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64" w:type="dxa"/>
            <w:noWrap w:val="0"/>
            <w:vAlign w:val="center"/>
          </w:tcPr>
          <w:p w14:paraId="73E29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191" w:type="dxa"/>
            <w:noWrap w:val="0"/>
            <w:vAlign w:val="top"/>
          </w:tcPr>
          <w:p w14:paraId="3446E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搭建公司及各子公司独立门户，兼容电脑端和移动端的智慧协同门户，实现各系统数据、服务汇聚到门户，以用户为中心，实现按功能、按角色、按场景、按职能多维度、多视角、全方位的信息呈现以及管理。（包括且不限于各公司门户、部门门户、个人门户、领导门户）。</w:t>
            </w:r>
          </w:p>
          <w:p w14:paraId="7DAD2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每个门户有独立的权限，可以设置不同的查看范围；门户中的不同的内容设置不同共享权限；</w:t>
            </w:r>
          </w:p>
          <w:p w14:paraId="46DBC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前端用户可自定义空间布局。</w:t>
            </w:r>
          </w:p>
        </w:tc>
      </w:tr>
      <w:tr w14:paraId="06B7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82" w:type="dxa"/>
            <w:noWrap w:val="0"/>
            <w:vAlign w:val="center"/>
          </w:tcPr>
          <w:p w14:paraId="23D45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2.1</w:t>
            </w:r>
          </w:p>
        </w:tc>
        <w:tc>
          <w:tcPr>
            <w:tcW w:w="1491" w:type="dxa"/>
            <w:noWrap w:val="0"/>
            <w:vAlign w:val="center"/>
          </w:tcPr>
          <w:p w14:paraId="71868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AE99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各公司门户</w:t>
            </w:r>
          </w:p>
        </w:tc>
        <w:tc>
          <w:tcPr>
            <w:tcW w:w="1364" w:type="dxa"/>
            <w:noWrap w:val="0"/>
            <w:vAlign w:val="center"/>
          </w:tcPr>
          <w:p w14:paraId="151A2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191" w:type="dxa"/>
            <w:noWrap w:val="0"/>
            <w:vAlign w:val="top"/>
          </w:tcPr>
          <w:p w14:paraId="6C457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快速传递公司内各方面的信息动向，加强公司与下属员工的信息来往，让每位员工都可在权限范围内了解到公司的动态。（包括且不限于新闻、通知公告、动态资讯、规章制度、外部报道等）</w:t>
            </w:r>
          </w:p>
        </w:tc>
      </w:tr>
      <w:tr w14:paraId="585D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82" w:type="dxa"/>
            <w:noWrap w:val="0"/>
            <w:vAlign w:val="center"/>
          </w:tcPr>
          <w:p w14:paraId="61DD1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2.2</w:t>
            </w:r>
          </w:p>
        </w:tc>
        <w:tc>
          <w:tcPr>
            <w:tcW w:w="1491" w:type="dxa"/>
            <w:noWrap w:val="0"/>
            <w:vAlign w:val="center"/>
          </w:tcPr>
          <w:p w14:paraId="5BC58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5AF6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部门门户</w:t>
            </w:r>
          </w:p>
        </w:tc>
        <w:tc>
          <w:tcPr>
            <w:tcW w:w="1364" w:type="dxa"/>
            <w:noWrap w:val="0"/>
            <w:vAlign w:val="center"/>
          </w:tcPr>
          <w:p w14:paraId="50EE9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191" w:type="dxa"/>
            <w:noWrap w:val="0"/>
            <w:vAlign w:val="top"/>
          </w:tcPr>
          <w:p w14:paraId="54A9D3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需要根据不同职能部门和业务部门的工作内容性质不同，从而为各个部门设计出有针对性的部门内信息门户，且能渗透到明细数据。</w:t>
            </w:r>
          </w:p>
        </w:tc>
      </w:tr>
      <w:tr w14:paraId="75C0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82" w:type="dxa"/>
            <w:noWrap w:val="0"/>
            <w:vAlign w:val="center"/>
          </w:tcPr>
          <w:p w14:paraId="7A411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2.3</w:t>
            </w:r>
          </w:p>
        </w:tc>
        <w:tc>
          <w:tcPr>
            <w:tcW w:w="1491" w:type="dxa"/>
            <w:noWrap w:val="0"/>
            <w:vAlign w:val="center"/>
          </w:tcPr>
          <w:p w14:paraId="13AFC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4B1F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个人门户</w:t>
            </w:r>
          </w:p>
        </w:tc>
        <w:tc>
          <w:tcPr>
            <w:tcW w:w="1364" w:type="dxa"/>
            <w:noWrap w:val="0"/>
            <w:vAlign w:val="center"/>
          </w:tcPr>
          <w:p w14:paraId="6A1B8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191" w:type="dxa"/>
            <w:noWrap w:val="0"/>
            <w:vAlign w:val="top"/>
          </w:tcPr>
          <w:p w14:paraId="476C5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将所有分散的工作事项集中展现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例如：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待办、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待阅、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计划日程处理、知识订阅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财务数据展示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等个人工作平台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且能渗透到明细数据。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  <w:tr w14:paraId="584D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82" w:type="dxa"/>
            <w:noWrap w:val="0"/>
            <w:vAlign w:val="center"/>
          </w:tcPr>
          <w:p w14:paraId="5DDA8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2.4</w:t>
            </w:r>
          </w:p>
        </w:tc>
        <w:tc>
          <w:tcPr>
            <w:tcW w:w="1491" w:type="dxa"/>
            <w:noWrap w:val="0"/>
            <w:vAlign w:val="center"/>
          </w:tcPr>
          <w:p w14:paraId="38BB7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F4E0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领导门户</w:t>
            </w:r>
          </w:p>
        </w:tc>
        <w:tc>
          <w:tcPr>
            <w:tcW w:w="1364" w:type="dxa"/>
            <w:noWrap w:val="0"/>
            <w:vAlign w:val="center"/>
          </w:tcPr>
          <w:p w14:paraId="24B15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191" w:type="dxa"/>
            <w:noWrap w:val="0"/>
            <w:vAlign w:val="top"/>
          </w:tcPr>
          <w:p w14:paraId="7373B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同个人门户，但针对领导关心的数据分类聚合展示且能渗透到明细数据。</w:t>
            </w:r>
          </w:p>
        </w:tc>
      </w:tr>
      <w:tr w14:paraId="6E2A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82" w:type="dxa"/>
            <w:noWrap w:val="0"/>
            <w:vAlign w:val="center"/>
          </w:tcPr>
          <w:p w14:paraId="1D5D8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2.5</w:t>
            </w:r>
          </w:p>
        </w:tc>
        <w:tc>
          <w:tcPr>
            <w:tcW w:w="1491" w:type="dxa"/>
            <w:noWrap w:val="0"/>
            <w:vAlign w:val="center"/>
          </w:tcPr>
          <w:p w14:paraId="2D432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FC55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党建门户</w:t>
            </w:r>
          </w:p>
        </w:tc>
        <w:tc>
          <w:tcPr>
            <w:tcW w:w="1364" w:type="dxa"/>
            <w:noWrap w:val="0"/>
            <w:vAlign w:val="center"/>
          </w:tcPr>
          <w:p w14:paraId="76AE6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191" w:type="dxa"/>
            <w:noWrap w:val="0"/>
            <w:vAlign w:val="top"/>
          </w:tcPr>
          <w:p w14:paraId="64831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党建新闻：可展示呈现中央党建新闻、总部党建新闻（总部、子公司）、党支部活动（总部、子公司）、团支部活动（总部、子公司）</w:t>
            </w:r>
          </w:p>
          <w:p w14:paraId="1C24B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党务知识：包含党章、入党流程、党建及精神文明等展示；</w:t>
            </w:r>
          </w:p>
          <w:p w14:paraId="5F27C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党建制度：党建制度展示；</w:t>
            </w:r>
          </w:p>
          <w:p w14:paraId="4F5F5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党员统计：关联人事管理中党员数据并展示</w:t>
            </w:r>
          </w:p>
        </w:tc>
      </w:tr>
      <w:tr w14:paraId="27E0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82" w:type="dxa"/>
            <w:noWrap w:val="0"/>
            <w:vAlign w:val="center"/>
          </w:tcPr>
          <w:p w14:paraId="5C8D0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2.6</w:t>
            </w:r>
          </w:p>
        </w:tc>
        <w:tc>
          <w:tcPr>
            <w:tcW w:w="1491" w:type="dxa"/>
            <w:noWrap w:val="0"/>
            <w:vAlign w:val="center"/>
          </w:tcPr>
          <w:p w14:paraId="01E52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2E9E8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工会门户</w:t>
            </w:r>
          </w:p>
        </w:tc>
        <w:tc>
          <w:tcPr>
            <w:tcW w:w="1364" w:type="dxa"/>
            <w:noWrap w:val="0"/>
            <w:vAlign w:val="center"/>
          </w:tcPr>
          <w:p w14:paraId="21713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191" w:type="dxa"/>
            <w:noWrap w:val="0"/>
            <w:vAlign w:val="top"/>
          </w:tcPr>
          <w:p w14:paraId="4F99E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工会新闻：包括公司总部工会活动、子公司活动等；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ab/>
            </w:r>
          </w:p>
          <w:p w14:paraId="5CF49A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工会制度：工会制度展示；</w:t>
            </w:r>
          </w:p>
          <w:p w14:paraId="3A490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工会人数统计：关联人事管理中工会数据并展示。</w:t>
            </w:r>
          </w:p>
        </w:tc>
      </w:tr>
      <w:tr w14:paraId="1D3B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71072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1" w:type="dxa"/>
            <w:noWrap w:val="0"/>
            <w:vAlign w:val="center"/>
          </w:tcPr>
          <w:p w14:paraId="1241A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用户管理</w:t>
            </w:r>
          </w:p>
        </w:tc>
        <w:tc>
          <w:tcPr>
            <w:tcW w:w="1333" w:type="dxa"/>
            <w:noWrap w:val="0"/>
            <w:vAlign w:val="center"/>
          </w:tcPr>
          <w:p w14:paraId="6F508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64" w:type="dxa"/>
            <w:noWrap w:val="0"/>
            <w:vAlign w:val="center"/>
          </w:tcPr>
          <w:p w14:paraId="07F2E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191" w:type="dxa"/>
            <w:noWrap w:val="0"/>
            <w:vAlign w:val="top"/>
          </w:tcPr>
          <w:p w14:paraId="39695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实现电脑端和移动端多级组织员工的分层次管理，为每一位员工提供身份标识，构建统一岗位体系、权责体系。从岗位职责与安全管控的角度打通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所有应用，实现业务权限及数据权限统一管理、用户行为审计及风险管控。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用户登录具有账户密码登录、扫二维码登录电脑端、人脸识别登录、移动及电脑端密码找回功能）</w:t>
            </w:r>
          </w:p>
          <w:p w14:paraId="769B06CD">
            <w:pPr>
              <w:keepNext w:val="0"/>
              <w:keepLines w:val="0"/>
              <w:numPr>
                <w:ilvl w:val="0"/>
                <w:numId w:val="0"/>
              </w:numPr>
              <w:adjustRightInd/>
              <w:spacing w:line="280" w:lineRule="exact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并发用户数300个或者注册用户数700个，电脑端和移动端共同1个账号。</w:t>
            </w:r>
          </w:p>
        </w:tc>
      </w:tr>
      <w:tr w14:paraId="707B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82" w:type="dxa"/>
            <w:noWrap w:val="0"/>
            <w:vAlign w:val="center"/>
          </w:tcPr>
          <w:p w14:paraId="18382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91" w:type="dxa"/>
            <w:noWrap w:val="0"/>
            <w:vAlign w:val="center"/>
          </w:tcPr>
          <w:p w14:paraId="08177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基本功能</w:t>
            </w:r>
          </w:p>
        </w:tc>
        <w:tc>
          <w:tcPr>
            <w:tcW w:w="1333" w:type="dxa"/>
            <w:noWrap w:val="0"/>
            <w:vAlign w:val="center"/>
          </w:tcPr>
          <w:p w14:paraId="26270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6C4E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91" w:type="dxa"/>
            <w:noWrap w:val="0"/>
            <w:vAlign w:val="top"/>
          </w:tcPr>
          <w:p w14:paraId="7AAC1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知识文档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新闻公告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日程管理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、网络调查、</w:t>
            </w:r>
          </w:p>
          <w:p w14:paraId="6AD60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通讯录、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即时通讯、制度管理、员工关怀等</w:t>
            </w:r>
          </w:p>
        </w:tc>
      </w:tr>
      <w:tr w14:paraId="035C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82" w:type="dxa"/>
            <w:noWrap w:val="0"/>
            <w:vAlign w:val="center"/>
          </w:tcPr>
          <w:p w14:paraId="0C676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491" w:type="dxa"/>
            <w:noWrap w:val="0"/>
            <w:vAlign w:val="center"/>
          </w:tcPr>
          <w:p w14:paraId="6E93D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模块功能</w:t>
            </w:r>
          </w:p>
        </w:tc>
        <w:tc>
          <w:tcPr>
            <w:tcW w:w="1333" w:type="dxa"/>
            <w:noWrap w:val="0"/>
            <w:vAlign w:val="center"/>
          </w:tcPr>
          <w:p w14:paraId="5B4DC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64" w:type="dxa"/>
            <w:noWrap w:val="0"/>
            <w:vAlign w:val="center"/>
          </w:tcPr>
          <w:p w14:paraId="150EE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191" w:type="dxa"/>
            <w:noWrap w:val="0"/>
            <w:vAlign w:val="top"/>
          </w:tcPr>
          <w:p w14:paraId="360EB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根据流程类形成台账、并根据相应要求建设模块化具象管理。</w:t>
            </w:r>
          </w:p>
        </w:tc>
      </w:tr>
      <w:tr w14:paraId="19F2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32B44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5.1</w:t>
            </w:r>
          </w:p>
        </w:tc>
        <w:tc>
          <w:tcPr>
            <w:tcW w:w="1491" w:type="dxa"/>
            <w:noWrap w:val="0"/>
            <w:vAlign w:val="center"/>
          </w:tcPr>
          <w:p w14:paraId="535B6A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0907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行政类</w:t>
            </w:r>
          </w:p>
        </w:tc>
        <w:tc>
          <w:tcPr>
            <w:tcW w:w="1364" w:type="dxa"/>
            <w:noWrap w:val="0"/>
            <w:vAlign w:val="center"/>
          </w:tcPr>
          <w:p w14:paraId="21DB2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公文</w:t>
            </w:r>
          </w:p>
        </w:tc>
        <w:tc>
          <w:tcPr>
            <w:tcW w:w="4191" w:type="dxa"/>
            <w:noWrap w:val="0"/>
            <w:vAlign w:val="top"/>
          </w:tcPr>
          <w:p w14:paraId="1DE99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工作台、收文（待办、已办、新建、我的发文）、发文（新建、来文登记、待办、已办、传阅、来文登记模版），发文关联至督查督办、公文统计、公文交换、文号管理、检索等</w:t>
            </w:r>
          </w:p>
        </w:tc>
      </w:tr>
      <w:tr w14:paraId="6671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3C457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104D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6329F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9CD4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督查督办</w:t>
            </w:r>
          </w:p>
        </w:tc>
        <w:tc>
          <w:tcPr>
            <w:tcW w:w="4191" w:type="dxa"/>
            <w:noWrap w:val="0"/>
            <w:vAlign w:val="top"/>
          </w:tcPr>
          <w:p w14:paraId="018F8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工作台、立项、任务指派、反馈、变更、终止、归档全过程等</w:t>
            </w:r>
          </w:p>
        </w:tc>
      </w:tr>
      <w:tr w14:paraId="2261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82" w:type="dxa"/>
            <w:noWrap w:val="0"/>
            <w:vAlign w:val="center"/>
          </w:tcPr>
          <w:p w14:paraId="79E6B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73D5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74D4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9678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会议</w:t>
            </w:r>
          </w:p>
        </w:tc>
        <w:tc>
          <w:tcPr>
            <w:tcW w:w="4191" w:type="dxa"/>
            <w:noWrap w:val="0"/>
            <w:vAlign w:val="top"/>
          </w:tcPr>
          <w:p w14:paraId="793A3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会议：实现三会或其他会议的会前：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议题收集、议题库（显示议题内容及状态“已上会”“未上会”；会后：会议纪要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。会议转督办；关联日程等；</w:t>
            </w:r>
          </w:p>
          <w:p w14:paraId="304DC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会议室：会议室管理、会议日历、使用状态、查询会议室、关联日程等</w:t>
            </w:r>
          </w:p>
        </w:tc>
      </w:tr>
      <w:tr w14:paraId="14FE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3121E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ED75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B5A7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F591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证照管理</w:t>
            </w:r>
          </w:p>
        </w:tc>
        <w:tc>
          <w:tcPr>
            <w:tcW w:w="4191" w:type="dxa"/>
            <w:noWrap w:val="0"/>
            <w:vAlign w:val="top"/>
          </w:tcPr>
          <w:p w14:paraId="1128D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证照工作台、证照信息、我的证照（关联个人档案）、出借记录、管理人变更记录、到期提醒、证照维护、证照统计</w:t>
            </w:r>
          </w:p>
        </w:tc>
      </w:tr>
      <w:tr w14:paraId="6097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noWrap w:val="0"/>
            <w:vAlign w:val="center"/>
          </w:tcPr>
          <w:p w14:paraId="56621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D53C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3E29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6087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印章</w:t>
            </w:r>
          </w:p>
        </w:tc>
        <w:tc>
          <w:tcPr>
            <w:tcW w:w="4191" w:type="dxa"/>
            <w:noWrap w:val="0"/>
            <w:vAlign w:val="top"/>
          </w:tcPr>
          <w:p w14:paraId="06372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印章台账、用印申请、我的印章（关联个人档案）</w:t>
            </w:r>
          </w:p>
        </w:tc>
      </w:tr>
      <w:tr w14:paraId="053C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6FCB2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5.2</w:t>
            </w:r>
          </w:p>
        </w:tc>
        <w:tc>
          <w:tcPr>
            <w:tcW w:w="1491" w:type="dxa"/>
            <w:noWrap w:val="0"/>
            <w:vAlign w:val="center"/>
          </w:tcPr>
          <w:p w14:paraId="23E2D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A344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人事类</w:t>
            </w:r>
          </w:p>
        </w:tc>
        <w:tc>
          <w:tcPr>
            <w:tcW w:w="1364" w:type="dxa"/>
            <w:noWrap w:val="0"/>
            <w:vAlign w:val="center"/>
          </w:tcPr>
          <w:p w14:paraId="150E3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招聘</w:t>
            </w:r>
          </w:p>
        </w:tc>
        <w:tc>
          <w:tcPr>
            <w:tcW w:w="4191" w:type="dxa"/>
            <w:noWrap w:val="0"/>
            <w:vAlign w:val="top"/>
          </w:tcPr>
          <w:p w14:paraId="0E475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招聘需求、面试登记、面试评估表、人才库</w:t>
            </w:r>
          </w:p>
        </w:tc>
      </w:tr>
      <w:tr w14:paraId="3409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26430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2CD0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5A5A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38B0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生命周期</w:t>
            </w:r>
          </w:p>
        </w:tc>
        <w:tc>
          <w:tcPr>
            <w:tcW w:w="4191" w:type="dxa"/>
            <w:noWrap w:val="0"/>
            <w:vAlign w:val="top"/>
          </w:tcPr>
          <w:p w14:paraId="6F3FFA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“入转调离”、晋升等管理</w:t>
            </w:r>
          </w:p>
        </w:tc>
      </w:tr>
      <w:tr w14:paraId="5063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3AC93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88B6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154C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0B59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档案</w:t>
            </w:r>
          </w:p>
        </w:tc>
        <w:tc>
          <w:tcPr>
            <w:tcW w:w="4191" w:type="dxa"/>
            <w:noWrap w:val="0"/>
            <w:vAlign w:val="top"/>
          </w:tcPr>
          <w:p w14:paraId="37084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员工个人信息维护，档案调整记录，提供档案的登记、借阅、存储、销毁等全生命周期管理。</w:t>
            </w:r>
          </w:p>
        </w:tc>
      </w:tr>
      <w:tr w14:paraId="4717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5EF05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229AA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D0A2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9744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劳动合同</w:t>
            </w:r>
          </w:p>
        </w:tc>
        <w:tc>
          <w:tcPr>
            <w:tcW w:w="4191" w:type="dxa"/>
            <w:noWrap w:val="0"/>
            <w:vAlign w:val="top"/>
          </w:tcPr>
          <w:p w14:paraId="7BB4B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发起劳动合同签订流程，审批通过后，存入员工档案，记录每次签订情况；应具备劳动合同到期提醒功能，形成台账汇总。</w:t>
            </w:r>
          </w:p>
        </w:tc>
      </w:tr>
      <w:tr w14:paraId="04AB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23965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6DBB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61C44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40EA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考勤管理</w:t>
            </w:r>
          </w:p>
        </w:tc>
        <w:tc>
          <w:tcPr>
            <w:tcW w:w="4191" w:type="dxa"/>
            <w:noWrap w:val="0"/>
            <w:vAlign w:val="top"/>
          </w:tcPr>
          <w:p w14:paraId="2CB39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移动端打卡功能、员工假期管理、排班</w:t>
            </w:r>
          </w:p>
        </w:tc>
      </w:tr>
      <w:tr w14:paraId="3012C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2CDB2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75C5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61ED0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39AF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培训管理</w:t>
            </w:r>
          </w:p>
        </w:tc>
        <w:tc>
          <w:tcPr>
            <w:tcW w:w="4191" w:type="dxa"/>
            <w:noWrap w:val="0"/>
            <w:vAlign w:val="top"/>
          </w:tcPr>
          <w:p w14:paraId="1D506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培训计划需求、我的培训（关联个人档案）、培训教材</w:t>
            </w:r>
          </w:p>
        </w:tc>
      </w:tr>
      <w:tr w14:paraId="5655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73B64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8A28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3BDD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3EB5B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薪酬管理</w:t>
            </w:r>
          </w:p>
        </w:tc>
        <w:tc>
          <w:tcPr>
            <w:tcW w:w="4191" w:type="dxa"/>
            <w:noWrap w:val="0"/>
            <w:vAlign w:val="top"/>
          </w:tcPr>
          <w:p w14:paraId="0EFD1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工资条、工资汇算、工资台账、工资报表分析</w:t>
            </w:r>
          </w:p>
        </w:tc>
      </w:tr>
      <w:tr w14:paraId="4155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10C97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D70DC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BCBA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161E7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护照管理</w:t>
            </w:r>
          </w:p>
        </w:tc>
        <w:tc>
          <w:tcPr>
            <w:tcW w:w="4191" w:type="dxa"/>
            <w:noWrap w:val="0"/>
            <w:vAlign w:val="top"/>
          </w:tcPr>
          <w:p w14:paraId="56A36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护照工作台、护照信息、我的护照（关联个人档案）、出借记录、到期提醒、变更、护照统计</w:t>
            </w:r>
          </w:p>
        </w:tc>
      </w:tr>
      <w:tr w14:paraId="46E6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2" w:type="dxa"/>
            <w:noWrap w:val="0"/>
            <w:vAlign w:val="center"/>
          </w:tcPr>
          <w:p w14:paraId="01911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23C0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606E0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1108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专家库管理</w:t>
            </w:r>
          </w:p>
        </w:tc>
        <w:tc>
          <w:tcPr>
            <w:tcW w:w="4191" w:type="dxa"/>
            <w:noWrap w:val="0"/>
            <w:vAlign w:val="top"/>
          </w:tcPr>
          <w:p w14:paraId="76280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专家库工作台、专家库台账及状态变更、我的专家库（关联个人档案）</w:t>
            </w:r>
          </w:p>
        </w:tc>
      </w:tr>
      <w:tr w14:paraId="67F5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6230C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5.3</w:t>
            </w:r>
          </w:p>
        </w:tc>
        <w:tc>
          <w:tcPr>
            <w:tcW w:w="1491" w:type="dxa"/>
            <w:noWrap w:val="0"/>
            <w:vAlign w:val="center"/>
          </w:tcPr>
          <w:p w14:paraId="29EDB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BB76B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资产类</w:t>
            </w:r>
          </w:p>
        </w:tc>
        <w:tc>
          <w:tcPr>
            <w:tcW w:w="1364" w:type="dxa"/>
            <w:noWrap w:val="0"/>
            <w:vAlign w:val="center"/>
          </w:tcPr>
          <w:p w14:paraId="1F30C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车辆管理</w:t>
            </w:r>
          </w:p>
        </w:tc>
        <w:tc>
          <w:tcPr>
            <w:tcW w:w="4191" w:type="dxa"/>
            <w:noWrap w:val="0"/>
            <w:vAlign w:val="top"/>
          </w:tcPr>
          <w:p w14:paraId="4446D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车辆信息、申请、维护、加油卡等进行统一管理；通过流程对车辆使用进行申请审批；可查看车辆使用情况。同时提供租用外部车辆流程、租用其他部门车辆流程、租用在岗职工车辆流程、提取车辆保单申请表等审批流程。公司内部费用分摊审批流程（水、电、房租等）</w:t>
            </w:r>
          </w:p>
        </w:tc>
      </w:tr>
      <w:tr w14:paraId="10EA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82" w:type="dxa"/>
            <w:noWrap w:val="0"/>
            <w:vAlign w:val="center"/>
          </w:tcPr>
          <w:p w14:paraId="4ADB1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85A6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D582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81A0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固定资产</w:t>
            </w:r>
          </w:p>
        </w:tc>
        <w:tc>
          <w:tcPr>
            <w:tcW w:w="4191" w:type="dxa"/>
            <w:noWrap w:val="0"/>
            <w:vAlign w:val="top"/>
          </w:tcPr>
          <w:p w14:paraId="56BFB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生命周期管理，实现资产申请，入库、领用、借用、维修、报废、预警、盘点等全过程生命周期的管理；我的资产（关联个人档案）；维修申请、验收等审批流程。</w:t>
            </w:r>
          </w:p>
        </w:tc>
      </w:tr>
      <w:tr w14:paraId="13EA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46815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5.4</w:t>
            </w:r>
          </w:p>
        </w:tc>
        <w:tc>
          <w:tcPr>
            <w:tcW w:w="1491" w:type="dxa"/>
            <w:noWrap w:val="0"/>
            <w:vAlign w:val="center"/>
          </w:tcPr>
          <w:p w14:paraId="330605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E6EA8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合同类</w:t>
            </w:r>
          </w:p>
        </w:tc>
        <w:tc>
          <w:tcPr>
            <w:tcW w:w="1364" w:type="dxa"/>
            <w:noWrap w:val="0"/>
            <w:vAlign w:val="center"/>
          </w:tcPr>
          <w:p w14:paraId="55B71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91" w:type="dxa"/>
            <w:noWrap w:val="0"/>
            <w:vAlign w:val="top"/>
          </w:tcPr>
          <w:p w14:paraId="613E8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台账、起草、档案、履约（收付款：履约台账、收支分类结算、收开票结算、应收应付台账、催收管理、到款认领）、更新（变更、解除）、合同分析、订单</w:t>
            </w:r>
          </w:p>
        </w:tc>
      </w:tr>
      <w:tr w14:paraId="4633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5EF38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5.5</w:t>
            </w:r>
          </w:p>
        </w:tc>
        <w:tc>
          <w:tcPr>
            <w:tcW w:w="1491" w:type="dxa"/>
            <w:noWrap w:val="0"/>
            <w:vAlign w:val="center"/>
          </w:tcPr>
          <w:p w14:paraId="171AC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B770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项目类</w:t>
            </w:r>
          </w:p>
        </w:tc>
        <w:tc>
          <w:tcPr>
            <w:tcW w:w="1364" w:type="dxa"/>
            <w:noWrap w:val="0"/>
            <w:vAlign w:val="center"/>
          </w:tcPr>
          <w:p w14:paraId="4787D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91" w:type="dxa"/>
            <w:noWrap w:val="0"/>
            <w:vAlign w:val="top"/>
          </w:tcPr>
          <w:p w14:paraId="224F0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可以通过项目门户、项目一览表/项目一览图进入项目概览并查看具体的项目情况。展示项目各主阶段的执行情况，包括：正常、预警、延迟、待启动，以及各阶段必备工作的完成情况。可以自定义搜索。</w:t>
            </w:r>
          </w:p>
        </w:tc>
      </w:tr>
      <w:tr w14:paraId="73FC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33426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5.6</w:t>
            </w:r>
          </w:p>
        </w:tc>
        <w:tc>
          <w:tcPr>
            <w:tcW w:w="1491" w:type="dxa"/>
            <w:noWrap w:val="0"/>
            <w:vAlign w:val="center"/>
          </w:tcPr>
          <w:p w14:paraId="05097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247AB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采购类</w:t>
            </w:r>
          </w:p>
        </w:tc>
        <w:tc>
          <w:tcPr>
            <w:tcW w:w="1364" w:type="dxa"/>
            <w:noWrap w:val="0"/>
            <w:vAlign w:val="center"/>
          </w:tcPr>
          <w:p w14:paraId="3D59A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91" w:type="dxa"/>
            <w:noWrap w:val="0"/>
            <w:vAlign w:val="top"/>
          </w:tcPr>
          <w:p w14:paraId="1D8FD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宋体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采购申请、比选管理、结算管理、合同管理采购类包含：采购申请、比选结果审批流程、比价审批流程、合同评审、验收流程、合格供应商等审批流程。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ab/>
            </w:r>
          </w:p>
        </w:tc>
      </w:tr>
      <w:tr w14:paraId="6A03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6C01F6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5.7</w:t>
            </w:r>
          </w:p>
        </w:tc>
        <w:tc>
          <w:tcPr>
            <w:tcW w:w="1491" w:type="dxa"/>
            <w:noWrap w:val="0"/>
            <w:vAlign w:val="center"/>
          </w:tcPr>
          <w:p w14:paraId="5F41C2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23A1E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财务类</w:t>
            </w:r>
          </w:p>
        </w:tc>
        <w:tc>
          <w:tcPr>
            <w:tcW w:w="1364" w:type="dxa"/>
            <w:noWrap w:val="0"/>
            <w:vAlign w:val="center"/>
          </w:tcPr>
          <w:p w14:paraId="5360E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91" w:type="dxa"/>
            <w:noWrap w:val="0"/>
            <w:vAlign w:val="top"/>
          </w:tcPr>
          <w:p w14:paraId="71D5C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根据财务日常工作需要，形成模块管理，如开票申请、接待申请、费用报销、借款申请、各类付款申请、内部结算、电子发票台账、合同台账等模块；</w:t>
            </w:r>
          </w:p>
          <w:p w14:paraId="0742D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体现数据分类汇总功能，针对财务人员工作，需要汇总的数据，形成报表统计功能，如差旅费报销单、费用报销单、食堂用餐数据各明细栏的筛选汇总；针对员工个人：借款是否还款、开票是否回款、保证金是否退回、预付款是否冲销等在个人oa系统有模块展示，达到一目了然的程度，简化查询流程。</w:t>
            </w:r>
          </w:p>
          <w:p w14:paraId="74E9B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OA上各类需要入账的流程与NCC打通，自动生成凭证至NCC。</w:t>
            </w:r>
          </w:p>
        </w:tc>
      </w:tr>
      <w:tr w14:paraId="601A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633E9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5.8</w:t>
            </w:r>
          </w:p>
        </w:tc>
        <w:tc>
          <w:tcPr>
            <w:tcW w:w="1491" w:type="dxa"/>
            <w:noWrap w:val="0"/>
            <w:vAlign w:val="center"/>
          </w:tcPr>
          <w:p w14:paraId="2BF4E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64CB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邮件</w:t>
            </w:r>
          </w:p>
        </w:tc>
        <w:tc>
          <w:tcPr>
            <w:tcW w:w="1364" w:type="dxa"/>
            <w:noWrap w:val="0"/>
            <w:vAlign w:val="center"/>
          </w:tcPr>
          <w:p w14:paraId="55F5F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91" w:type="dxa"/>
            <w:noWrap w:val="0"/>
            <w:vAlign w:val="top"/>
          </w:tcPr>
          <w:p w14:paraId="3D48E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邮件管理（包含且不限于收发件、）</w:t>
            </w:r>
          </w:p>
        </w:tc>
      </w:tr>
      <w:tr w14:paraId="07FC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49B1D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91" w:type="dxa"/>
            <w:noWrap w:val="0"/>
            <w:vAlign w:val="center"/>
          </w:tcPr>
          <w:p w14:paraId="47C81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流程中心</w:t>
            </w:r>
          </w:p>
        </w:tc>
        <w:tc>
          <w:tcPr>
            <w:tcW w:w="1333" w:type="dxa"/>
            <w:noWrap w:val="0"/>
            <w:vAlign w:val="center"/>
          </w:tcPr>
          <w:p w14:paraId="1B072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64" w:type="dxa"/>
            <w:noWrap w:val="0"/>
            <w:vAlign w:val="center"/>
          </w:tcPr>
          <w:p w14:paraId="4D19E7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191" w:type="dxa"/>
            <w:noWrap w:val="0"/>
            <w:vAlign w:val="top"/>
          </w:tcPr>
          <w:p w14:paraId="4935D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流程建设500余条，流程之间存在关联性，形成相应流程台账</w:t>
            </w:r>
          </w:p>
        </w:tc>
      </w:tr>
      <w:tr w14:paraId="708B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3E0FB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91" w:type="dxa"/>
            <w:noWrap w:val="0"/>
            <w:vAlign w:val="center"/>
          </w:tcPr>
          <w:p w14:paraId="18ADD3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报表中心</w:t>
            </w:r>
          </w:p>
        </w:tc>
        <w:tc>
          <w:tcPr>
            <w:tcW w:w="1333" w:type="dxa"/>
            <w:noWrap w:val="0"/>
            <w:vAlign w:val="center"/>
          </w:tcPr>
          <w:p w14:paraId="62528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64" w:type="dxa"/>
            <w:noWrap w:val="0"/>
            <w:vAlign w:val="center"/>
          </w:tcPr>
          <w:p w14:paraId="3B58A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191" w:type="dxa"/>
            <w:noWrap w:val="0"/>
            <w:vAlign w:val="top"/>
          </w:tcPr>
          <w:p w14:paraId="68073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支撑不同部门、不同公司、不同要求进行报表的自定义统计功能。</w:t>
            </w:r>
          </w:p>
        </w:tc>
      </w:tr>
      <w:tr w14:paraId="7C2E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68F52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491" w:type="dxa"/>
            <w:noWrap w:val="0"/>
            <w:vAlign w:val="center"/>
          </w:tcPr>
          <w:p w14:paraId="5135D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员工关怀</w:t>
            </w:r>
          </w:p>
        </w:tc>
        <w:tc>
          <w:tcPr>
            <w:tcW w:w="1333" w:type="dxa"/>
            <w:noWrap w:val="0"/>
            <w:vAlign w:val="center"/>
          </w:tcPr>
          <w:p w14:paraId="759DC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64" w:type="dxa"/>
            <w:noWrap w:val="0"/>
            <w:vAlign w:val="center"/>
          </w:tcPr>
          <w:p w14:paraId="31677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191" w:type="dxa"/>
            <w:noWrap w:val="0"/>
            <w:vAlign w:val="top"/>
          </w:tcPr>
          <w:p w14:paraId="15C62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员工生日、工龄、党龄、司龄等重要日子进行提示功能。</w:t>
            </w:r>
          </w:p>
        </w:tc>
      </w:tr>
      <w:tr w14:paraId="2EC3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31233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491" w:type="dxa"/>
            <w:noWrap w:val="0"/>
            <w:vAlign w:val="center"/>
          </w:tcPr>
          <w:p w14:paraId="502AF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二次开发功能</w:t>
            </w:r>
          </w:p>
        </w:tc>
        <w:tc>
          <w:tcPr>
            <w:tcW w:w="1333" w:type="dxa"/>
            <w:noWrap w:val="0"/>
            <w:vAlign w:val="center"/>
          </w:tcPr>
          <w:p w14:paraId="72874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64" w:type="dxa"/>
            <w:noWrap w:val="0"/>
            <w:vAlign w:val="center"/>
          </w:tcPr>
          <w:p w14:paraId="1436E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191" w:type="dxa"/>
            <w:noWrap w:val="0"/>
            <w:vAlign w:val="top"/>
          </w:tcPr>
          <w:p w14:paraId="558DE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移动端、电脑端针对流程进行模块化扩展或新建立相应模块化的功能</w:t>
            </w:r>
          </w:p>
        </w:tc>
      </w:tr>
      <w:tr w14:paraId="0F58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82" w:type="dxa"/>
            <w:noWrap w:val="0"/>
            <w:vAlign w:val="center"/>
          </w:tcPr>
          <w:p w14:paraId="679B5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91" w:type="dxa"/>
            <w:noWrap w:val="0"/>
            <w:vAlign w:val="center"/>
          </w:tcPr>
          <w:p w14:paraId="15108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接口</w:t>
            </w:r>
          </w:p>
        </w:tc>
        <w:tc>
          <w:tcPr>
            <w:tcW w:w="1333" w:type="dxa"/>
            <w:noWrap w:val="0"/>
            <w:vAlign w:val="center"/>
          </w:tcPr>
          <w:p w14:paraId="2C8F6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364" w:type="dxa"/>
            <w:noWrap w:val="0"/>
            <w:vAlign w:val="center"/>
          </w:tcPr>
          <w:p w14:paraId="00D01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191" w:type="dxa"/>
            <w:noWrap w:val="0"/>
            <w:vAlign w:val="top"/>
          </w:tcPr>
          <w:p w14:paraId="399E2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LIMS实验室系统、财务系统NCC；</w:t>
            </w:r>
          </w:p>
        </w:tc>
      </w:tr>
    </w:tbl>
    <w:p w14:paraId="5C62944B">
      <w:pPr>
        <w:keepNext w:val="0"/>
        <w:keepLines w:val="0"/>
        <w:widowControl/>
        <w:suppressLineNumbers w:val="0"/>
        <w:ind w:firstLine="482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40A648A6">
      <w:pPr>
        <w:keepNext w:val="0"/>
        <w:keepLines w:val="0"/>
        <w:widowControl/>
        <w:suppressLineNumbers w:val="0"/>
        <w:ind w:firstLine="482" w:firstLineChars="20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2.运维服务要求</w:t>
      </w:r>
    </w:p>
    <w:bookmarkEnd w:id="0"/>
    <w:p w14:paraId="54348D2D">
      <w:pPr>
        <w:pStyle w:val="6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2.1完成系统建设后，根据采购人工作进度安排，组织项目进行初验，初验结束后组织进行为期不少于 3 个月的服务测试，服务商须配合完成相关服务、解答、优化调整等工作。</w:t>
      </w:r>
    </w:p>
    <w:p w14:paraId="5FE3CD4E">
      <w:pPr>
        <w:pStyle w:val="6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为保证系统在建设后的正常运行，服务商在响应文件里应明确承诺向采购人提供有效的、及时的运维服务和技术支持。</w:t>
      </w:r>
    </w:p>
    <w:p w14:paraId="3E96B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2.3在运维服务期（建设期、测试期、质保期）内，针对实际使用过程中发现的性能、功能问题提供修改、开发和培训。 </w:t>
      </w:r>
    </w:p>
    <w:p w14:paraId="385D51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3.后期服务要求</w:t>
      </w:r>
    </w:p>
    <w:p w14:paraId="07420E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能够实现与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2"/>
          <w:sz w:val="24"/>
          <w:szCs w:val="24"/>
          <w:highlight w:val="none"/>
          <w:u w:val="none"/>
          <w:lang w:val="en-US" w:eastAsia="zh-CN" w:bidi="ar"/>
        </w:rPr>
        <w:t>财务NCC、LIMIS系统的数据对接及OA系统自身运行功能，以及质保期后运维服务。在响应文件中体现，包含但不限于响应时间、服务内容、服务费用。</w:t>
      </w:r>
    </w:p>
    <w:p w14:paraId="7C2FDABB">
      <w:pPr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beforeLines="50" w:line="560" w:lineRule="exact"/>
        <w:ind w:left="420" w:leftChars="0" w:firstLine="0" w:firstLineChars="0"/>
        <w:jc w:val="both"/>
        <w:outlineLvl w:val="1"/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highlight w:val="none"/>
        </w:rPr>
        <w:t>★商务要求</w:t>
      </w:r>
    </w:p>
    <w:p w14:paraId="3FAE2243">
      <w:pPr>
        <w:pStyle w:val="5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交付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期限：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自合同签订之日起算，3个月完成主体结构和部分功能上线，4个月完成全部功能上线。</w:t>
      </w:r>
    </w:p>
    <w:p w14:paraId="7CCBEE71">
      <w:pPr>
        <w:pStyle w:val="5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480" w:firstLineChars="200"/>
        <w:jc w:val="both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2、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交付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地点：采购人指定地点。</w:t>
      </w:r>
    </w:p>
    <w:p w14:paraId="600129A7">
      <w:pPr>
        <w:pStyle w:val="6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3、付款方式：合同签订后，采购人向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中选供应商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支付合同金额的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作为预付款，验收合格后支付合同金额的65%，剩余5%为质保金，质保服务期满且履约验收合格后10个工作日内采购人向中选供应商付清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验收款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付款前，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中选供应商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须向采购人提供合法合规的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合同总金额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发票及采购人付款所需资料，否则，由此造成的责任、损失由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中选供应商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自行承担。</w:t>
      </w:r>
    </w:p>
    <w:p w14:paraId="51114DA3">
      <w:pPr>
        <w:pStyle w:val="6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4、验收标准及要求：</w:t>
      </w:r>
    </w:p>
    <w:p w14:paraId="5C0F8F0E">
      <w:pPr>
        <w:pStyle w:val="6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竣工验收：服务测试结束后，组织项目竣工验收。</w:t>
      </w:r>
    </w:p>
    <w:p w14:paraId="63868B62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验收标准：按照需求确认内容进行验收。</w:t>
      </w:r>
    </w:p>
    <w:p w14:paraId="11F341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质保服务期：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竣工验收合格后，服务商对其提供的服务项目应提供1年质保服务，以及长期的技术支持。</w:t>
      </w:r>
    </w:p>
    <w:p w14:paraId="2F243BF8">
      <w:pPr>
        <w:pStyle w:val="6"/>
        <w:pageBreakBefore w:val="0"/>
        <w:widowControl w:val="0"/>
        <w:tabs>
          <w:tab w:val="left" w:pos="0"/>
        </w:tabs>
        <w:kinsoku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履约验收：质保服务期结束后，组织履约验收。</w:t>
      </w:r>
    </w:p>
    <w:p w14:paraId="4B9838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52968A"/>
    <w:multiLevelType w:val="singleLevel"/>
    <w:tmpl w:val="A552968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674796B"/>
    <w:multiLevelType w:val="singleLevel"/>
    <w:tmpl w:val="2674796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3">
    <w:nsid w:val="672493BF"/>
    <w:multiLevelType w:val="singleLevel"/>
    <w:tmpl w:val="672493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931BE"/>
    <w:rsid w:val="4A6460DC"/>
    <w:rsid w:val="5CC04E72"/>
    <w:rsid w:val="61DB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3"/>
    <w:next w:val="4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/>
      <w:sz w:val="24"/>
      <w:szCs w:val="20"/>
    </w:rPr>
  </w:style>
  <w:style w:type="table" w:styleId="8">
    <w:name w:val="Table Grid"/>
    <w:basedOn w:val="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2025-12-09T11:21:19Z</dcterms:created>
  <dc:creator>123</dc:creator>
  <cp:lastModifiedBy>陈玉梅</cp:lastModifiedBy>
  <dcterms:modified xsi:type="dcterms:W3CDTF">2025-12-09T11:25:08Z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eyJoZGlkIjoiMTU1Mjc5ZGZhYjY1MzliNDhiYjNhMDg4ZmU1OGZkMTkiLCJ1c2VySWQiOiIyNTk4Nzg5MDgifQ==</vt:lpwstr>
  </property>
  <property fmtid="{D5CDD505-2E9C-101B-9397-08002B2CF9AE}" pid="4" name="ICV">
    <vt:lpwstr>192C6AD7C81F4B14B5D8CD765D3BDC04_12</vt:lpwstr>
  </property>
</Properties>
</file>