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98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805"/>
        <w:gridCol w:w="2136"/>
        <w:gridCol w:w="394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369" w:type="pct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1059" w:type="pct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仪器名称</w:t>
            </w:r>
          </w:p>
        </w:tc>
        <w:tc>
          <w:tcPr>
            <w:tcW w:w="1253" w:type="pct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对应国家标准</w:t>
            </w:r>
          </w:p>
        </w:tc>
        <w:tc>
          <w:tcPr>
            <w:tcW w:w="2317" w:type="pct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仪器参数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鹅、鸭绒（毛）分辨投影仪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GB/T10288-2016 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成分分析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用于羽绒羽毛检测中鹅、鸭绒（毛）分辨，满足GB/T10288-2016 标准中成分分析要求。具有90倍可替换镜头。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羽绒混样台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GB/T14272   GB/T10288   FZ/T80001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满足标准GB/T14272   GB/T10288   FZ/T80001要求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羽绒分拣箱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GB/T14272  GB/T10288  FZ/T80001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满足标准GB/T14272  GB/T10288  FZ/T80001要求。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可放置试杯孔位为：8个，直径：75mm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毛细效应测试仪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FZ/T01071、GB/T21655.1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符合标准：FZ/T01071、GB/T21655.1中8.4 吸芯高度等标准。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不锈钢张力夹重量:（3±0.3）g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标尺尺寸最小刻度为1mm；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容器盛装试液高度至少50mm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有温度调节装置和计时装置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手摇捻度机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GB/T2543.1、GB/T2543.2、FZ/T10001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符合标准：GB/T2543.1、GB/T2543.2、FZ/T10001要求。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试验测试长度范围：10～300mm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有预加张力装置，可测量试样长度，其精度为士0.5 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织物硬挺度仪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GB/T18318.1-2009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满足标准GB/T18318.1-2009要求。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测量角度：41.5°、43°、45°；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速度范围可调：0.1mm/s～10mm/s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工作平台规格：40×250mm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纺织品防紫外性能测试仪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GB/T 18830-2009 </w:t>
            </w:r>
          </w:p>
        </w:tc>
        <w:tc>
          <w:tcPr>
            <w:tcW w:w="2317" w:type="pct"/>
          </w:tcPr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满足GB/T 18830-2009纺织品防紫外线性能的评定,能检测紫外线防护系数（UPF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AV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>值）和紫外线透过率T（UVA）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AV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>、T（UVB）</w:t>
            </w:r>
            <w:r>
              <w:rPr>
                <w:rFonts w:hint="eastAsia" w:ascii="楷体" w:hAnsi="楷体" w:eastAsia="楷体"/>
                <w:color w:val="FF0000"/>
                <w:sz w:val="18"/>
                <w:szCs w:val="18"/>
              </w:rPr>
              <w:t>AV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>、样品UPF值。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测量范围:透过率:  0～100%，分辨率0.01%，精度±1%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 xml:space="preserve"> UPFi：0～2000，分辨率0.001，精度±2%；UPF：0～2000，精度±2%；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波长范围：280——400nm；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狭缝宽度:≤5nm；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内置积分球式分光光度计，波长自动扫描, 分辨率0.2nm，精度1nm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采用氙弧灯做光源，注：提供氙弧灯实物照片进行佐证。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纺织品保暖测试仪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GBT 35762-2017</w:t>
            </w:r>
          </w:p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GB/T11048-2008 B型机器 静态平板法</w:t>
            </w:r>
          </w:p>
        </w:tc>
        <w:tc>
          <w:tcPr>
            <w:tcW w:w="2317" w:type="pct"/>
          </w:tcPr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满足标准GBT 35762-2017 《纺织品 热传递性能试验方法 平板法》，以及GB/T11048-2008 B型机器 静态平板法要求。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加热板温度可调节，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试验板尺寸：≥0.04㎡</w:t>
            </w:r>
          </w:p>
          <w:p>
            <w:pPr>
              <w:rPr>
                <w:rFonts w:ascii="楷体" w:hAnsi="楷体" w:eastAsia="楷体"/>
                <w:color w:val="FF0000"/>
                <w:sz w:val="24"/>
              </w:rPr>
            </w:pPr>
            <w:r>
              <w:rPr>
                <w:rFonts w:hint="eastAsia" w:ascii="楷体" w:hAnsi="楷体" w:eastAsia="楷体"/>
                <w:color w:val="FF0000"/>
                <w:sz w:val="24"/>
              </w:rPr>
              <w:t>可测试热阻、热传导系数、克罗值、保温率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Y111罗拉长度分析仪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 18383-2007附录A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满足标准GB 18383-2007附录A 絮用纤维的短纤维含量试验方法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穿透时间测试仪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 24539-2021《防护服装 化学防护服通用技术要求》附录G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设备满足标准GB 24539-2021《防护服装 化学防护服通用技术要求》附录G 织物酸碱类化学防护服面料穿透时间测试方法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11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静酸压测试仪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 24539-2021《防护服装 化学防护服通用技术要求》附录H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设备满足标准GB 24539-2021《防护服装 化学防护服通用技术要求》附录H 织物酸碱类化学防护服面料耐液体静压力测试方法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12</w:t>
            </w:r>
          </w:p>
        </w:tc>
        <w:tc>
          <w:tcPr>
            <w:tcW w:w="1059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拒液效率测试仪</w:t>
            </w:r>
          </w:p>
        </w:tc>
        <w:tc>
          <w:tcPr>
            <w:tcW w:w="1253" w:type="pct"/>
          </w:tcPr>
          <w:p>
            <w:pPr>
              <w:jc w:val="left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GB 24539-2021《防护服装 化学防护服通用技术要求》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 xml:space="preserve">附录I </w:t>
            </w:r>
          </w:p>
        </w:tc>
        <w:tc>
          <w:tcPr>
            <w:tcW w:w="2317" w:type="pct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1、设备满足标准GB 24539-2021《防护服装 化学防护服通用技术要求》</w:t>
            </w:r>
            <w:r>
              <w:rPr>
                <w:rFonts w:hint="eastAsia" w:ascii="楷体" w:hAnsi="楷体" w:eastAsia="楷体"/>
                <w:color w:val="FF0000"/>
                <w:sz w:val="24"/>
              </w:rPr>
              <w:t>附录I 化学防护服面料拒液性能测试方法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试验槽：半圆柱形，内径（125±5）mm，长度（300±2）mm，倾角为45°；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注射器：规格（10±0.5）ml，针孔直径：（0.8±0.02）mm，针尖为平头；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计时器：分辨率0.1s以上；</w:t>
            </w:r>
          </w:p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5、自动注射系统，注射器在（10±1）s内能连续喷射（10±0.5）ml</w:t>
            </w:r>
          </w:p>
        </w:tc>
      </w:tr>
    </w:tbl>
    <w:p/>
    <w:p/>
    <w:p>
      <w:pPr>
        <w:jc w:val="center"/>
        <w:rPr>
          <w:rFonts w:hint="default" w:ascii="Times New Roman" w:hAnsi="Times New Roman" w:cs="Times New Roman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sz w:val="28"/>
          <w:szCs w:val="28"/>
          <w:lang w:val="en-US" w:eastAsia="zh-CN"/>
        </w:rPr>
        <w:t>服务要求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自安装验收合格之日起，免费提供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一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年的维修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技术服务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；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2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提供现场安装操作培训；如仪器出现故障，工程师应在2小时内作出应答，进行电话指导、网上诊断协助排除故障。必要时，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工程师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在48小时内到达现场；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</w:pPr>
      <w:r>
        <w:rPr>
          <w:rFonts w:hint="eastAsia" w:ascii="宋体" w:hAnsi="宋体" w:cs="宋体"/>
          <w:szCs w:val="21"/>
        </w:rPr>
        <w:t>★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3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、须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ja-JP"/>
        </w:rPr>
        <w:t>按照设备应满足的标准检测方法进行验收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；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ja-JP"/>
        </w:rPr>
        <w:t>若验收未通过，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中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选供应商</w:t>
      </w:r>
      <w:r>
        <w:rPr>
          <w:rFonts w:ascii="Times New Roman" w:hAnsi="Times New Roman" w:eastAsia="宋体" w:cs="Times New Roman"/>
          <w:color w:val="000000"/>
          <w:sz w:val="24"/>
          <w:szCs w:val="24"/>
          <w:lang w:eastAsia="ja-JP"/>
        </w:rPr>
        <w:t>无条件退货退款；</w:t>
      </w:r>
    </w:p>
    <w:p>
      <w:pPr>
        <w:widowControl/>
        <w:spacing w:line="360" w:lineRule="auto"/>
        <w:jc w:val="lef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4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货期：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15个日历日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620C76"/>
    <w:multiLevelType w:val="multilevel"/>
    <w:tmpl w:val="66620C76"/>
    <w:lvl w:ilvl="0" w:tentative="0">
      <w:start w:val="2"/>
      <w:numFmt w:val="decimal"/>
      <w:lvlText w:val="%1、"/>
      <w:lvlJc w:val="left"/>
      <w:pPr>
        <w:ind w:left="360" w:hanging="360"/>
      </w:pPr>
      <w:rPr>
        <w:rFonts w:hint="default"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jc5ZGZhYjY1MzliNDhiYjNhMDg4ZmU1OGZkMTkifQ=="/>
  </w:docVars>
  <w:rsids>
    <w:rsidRoot w:val="00000000"/>
    <w:rsid w:val="14DD4B1E"/>
    <w:rsid w:val="4D9B068D"/>
    <w:rsid w:val="5486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2024-01-17T02:38:00Z</dcterms:created>
  <dc:creator>123</dc:creator>
  <cp:lastModifiedBy>陈玉梅</cp:lastModifiedBy>
  <dcterms:modified xsi:type="dcterms:W3CDTF">2024-01-17T07:12:16Z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58538572A21140F2A8746088C2AEB00E_12</vt:lpwstr>
  </property>
</Properties>
</file>