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12" w:rsidRPr="00170475" w:rsidRDefault="00170475" w:rsidP="00170475">
      <w:pPr>
        <w:spacing w:line="360" w:lineRule="exact"/>
        <w:jc w:val="center"/>
        <w:rPr>
          <w:b/>
          <w:sz w:val="22"/>
        </w:rPr>
      </w:pPr>
      <w:bookmarkStart w:id="0" w:name="_GoBack"/>
      <w:r w:rsidRPr="00170475">
        <w:rPr>
          <w:rFonts w:hint="eastAsia"/>
          <w:b/>
          <w:sz w:val="22"/>
        </w:rPr>
        <w:t>采购</w:t>
      </w:r>
      <w:r w:rsidRPr="00170475">
        <w:rPr>
          <w:b/>
          <w:sz w:val="22"/>
        </w:rPr>
        <w:t>清单</w:t>
      </w:r>
    </w:p>
    <w:tbl>
      <w:tblPr>
        <w:tblW w:w="1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567"/>
        <w:gridCol w:w="567"/>
        <w:gridCol w:w="6096"/>
        <w:gridCol w:w="1127"/>
      </w:tblGrid>
      <w:tr w:rsidR="00170475" w:rsidTr="00170475">
        <w:trPr>
          <w:trHeight w:val="540"/>
        </w:trPr>
        <w:tc>
          <w:tcPr>
            <w:tcW w:w="817" w:type="dxa"/>
            <w:shd w:val="clear" w:color="auto" w:fill="auto"/>
          </w:tcPr>
          <w:bookmarkEnd w:id="0"/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 xml:space="preserve">序号 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 xml:space="preserve">产品名称 </w:t>
            </w:r>
          </w:p>
        </w:tc>
        <w:tc>
          <w:tcPr>
            <w:tcW w:w="1701" w:type="dxa"/>
            <w:shd w:val="clear" w:color="auto" w:fill="auto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 xml:space="preserve">规格[长*宽*高mm] </w:t>
            </w:r>
          </w:p>
        </w:tc>
        <w:tc>
          <w:tcPr>
            <w:tcW w:w="567" w:type="dxa"/>
            <w:shd w:val="clear" w:color="auto" w:fill="auto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 xml:space="preserve">单位 </w:t>
            </w:r>
          </w:p>
        </w:tc>
        <w:tc>
          <w:tcPr>
            <w:tcW w:w="567" w:type="dxa"/>
            <w:shd w:val="clear" w:color="auto" w:fill="auto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 xml:space="preserve">数量 </w:t>
            </w:r>
          </w:p>
        </w:tc>
        <w:tc>
          <w:tcPr>
            <w:tcW w:w="6096" w:type="dxa"/>
            <w:shd w:val="clear" w:color="auto" w:fill="auto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>详细描述/材质参数</w:t>
            </w:r>
          </w:p>
        </w:tc>
        <w:tc>
          <w:tcPr>
            <w:tcW w:w="1127" w:type="dxa"/>
            <w:shd w:val="clear" w:color="auto" w:fill="auto"/>
          </w:tcPr>
          <w:p w:rsidR="00170475" w:rsidRDefault="00170475">
            <w:pPr>
              <w:widowControl/>
              <w:ind w:firstLineChars="200" w:firstLine="320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6"/>
                <w:szCs w:val="16"/>
              </w:rPr>
              <w:t>备注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原木门拆除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道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新建墙体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平米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红砖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墙体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石膏板隔墙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平米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青钢龙骨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双面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石膏板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隔墙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水泥地坪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平米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混泥土地面找平及收光，厚度6-8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mm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排水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管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地面开槽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室内及室外排水管开沟，安装完成并修复地面。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排水沟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采用地面现有排水沟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并安装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不锈钢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水篾子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墙面翻新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平米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铲除原有墙面抹灰，采用石膏打底，两遍腻子膏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两遍乳胶漆。</w:t>
            </w:r>
          </w:p>
        </w:tc>
        <w:tc>
          <w:tcPr>
            <w:tcW w:w="1127" w:type="dxa"/>
            <w:vMerge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地面铲除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平米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原有部分瓷砖地面铲除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开门洞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原有12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mm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隔墙新开门洞。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钢制双开门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2000*1400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道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含锁具及把手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卷帘门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1800*2900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含锁具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明装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800*1000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含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3P330-100A空开一个，三相电表一支，3P60A空开4个，32A漏电保护器8个，1P10A空开2个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明装配电盒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含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3P60A空开3个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电缆线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Yjv4*10+1*6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国标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插座供电线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BV4</w:t>
            </w:r>
            <w:r>
              <w:rPr>
                <w:rFonts w:eastAsia="宋体" w:hAnsi="宋体" w:cs="Times New Roman" w:hint="eastAsia"/>
                <w:color w:val="000000"/>
                <w:sz w:val="16"/>
                <w:szCs w:val="16"/>
              </w:rPr>
              <w:t>㎡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线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国标，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含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1.5</w:t>
            </w:r>
            <w:r>
              <w:rPr>
                <w:rFonts w:eastAsia="宋体" w:hAnsi="宋体" w:cs="Times New Roman" w:hint="eastAsia"/>
                <w:color w:val="000000"/>
                <w:sz w:val="16"/>
                <w:szCs w:val="16"/>
              </w:rPr>
              <w:t>㎡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双色线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灯具供电线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BV2.5</w:t>
            </w:r>
            <w:r>
              <w:rPr>
                <w:rFonts w:eastAsia="宋体" w:hAnsi="宋体" w:cs="Times New Roman" w:hint="eastAsia"/>
                <w:color w:val="000000"/>
                <w:sz w:val="16"/>
                <w:szCs w:val="16"/>
              </w:rPr>
              <w:t>㎡</w:t>
            </w: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线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国标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PVC40线槽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阻燃材料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PVC20线槽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阻燃材料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插座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开关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单开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个，双开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个，三开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T8LED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套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双支</w:t>
            </w:r>
            <w:proofErr w:type="gramEnd"/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给水管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30米Φ32，10米Φ25，Φ32水表一支（含阀门一个），单冷水龙头5个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排水管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  <w:t>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Φ110PVC管20米，Φ75PVC管10米，地漏3个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小家电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检测改电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明装配电箱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400*600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含3P60A空开1个.32A漏电保护开关4个，2P40A空开1个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插座线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tabs>
                <w:tab w:val="left" w:pos="352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ab/>
              <w:t>BV4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平方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包含1.5平方接地线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主供电线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BV6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平方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包含1.5平方接地线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ind w:firstLine="321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插座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16A插座2个.10A插座3个。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170475" w:rsidRDefault="00170475">
            <w:pPr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PVC线槽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阻燃材料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70475" w:rsidTr="0017047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建渣清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运费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75" w:rsidRDefault="00170475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0475" w:rsidRDefault="001704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C4012" w:rsidRDefault="004C4012">
      <w:pPr>
        <w:spacing w:line="360" w:lineRule="exact"/>
        <w:rPr>
          <w:sz w:val="22"/>
        </w:rPr>
      </w:pPr>
    </w:p>
    <w:sectPr w:rsidR="004C4012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F6" w:rsidRDefault="007B29F6">
      <w:r>
        <w:separator/>
      </w:r>
    </w:p>
  </w:endnote>
  <w:endnote w:type="continuationSeparator" w:id="0">
    <w:p w:rsidR="007B29F6" w:rsidRDefault="007B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12" w:rsidRDefault="007B29F6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170475">
      <w:rPr>
        <w:rStyle w:val="a8"/>
        <w:noProof/>
      </w:rPr>
      <w:t>1</w:t>
    </w:r>
    <w:r>
      <w:fldChar w:fldCharType="end"/>
    </w:r>
  </w:p>
  <w:p w:rsidR="004C4012" w:rsidRDefault="007B29F6">
    <w:pPr>
      <w:pStyle w:val="a6"/>
      <w:jc w:val="center"/>
    </w:pP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F6" w:rsidRDefault="007B29F6">
      <w:r>
        <w:separator/>
      </w:r>
    </w:p>
  </w:footnote>
  <w:footnote w:type="continuationSeparator" w:id="0">
    <w:p w:rsidR="007B29F6" w:rsidRDefault="007B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12" w:rsidRDefault="004C401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DUyYmNlZDI2ZDhkOWU3NmFhMDU2MDk2YjM3YmYifQ=="/>
  </w:docVars>
  <w:rsids>
    <w:rsidRoot w:val="00172A27"/>
    <w:rsid w:val="000373F1"/>
    <w:rsid w:val="000E7879"/>
    <w:rsid w:val="00167065"/>
    <w:rsid w:val="00170475"/>
    <w:rsid w:val="00172A27"/>
    <w:rsid w:val="001A4E2F"/>
    <w:rsid w:val="001B1D93"/>
    <w:rsid w:val="001F3632"/>
    <w:rsid w:val="00202739"/>
    <w:rsid w:val="00207E23"/>
    <w:rsid w:val="002158D9"/>
    <w:rsid w:val="0021704D"/>
    <w:rsid w:val="00233D9F"/>
    <w:rsid w:val="00257A7E"/>
    <w:rsid w:val="002B6C41"/>
    <w:rsid w:val="002D6E95"/>
    <w:rsid w:val="002F287A"/>
    <w:rsid w:val="00300725"/>
    <w:rsid w:val="003403BE"/>
    <w:rsid w:val="00383DA5"/>
    <w:rsid w:val="0039006E"/>
    <w:rsid w:val="003D194D"/>
    <w:rsid w:val="00405854"/>
    <w:rsid w:val="00444288"/>
    <w:rsid w:val="0044669B"/>
    <w:rsid w:val="00456BF5"/>
    <w:rsid w:val="00464B51"/>
    <w:rsid w:val="00474B52"/>
    <w:rsid w:val="00481FFA"/>
    <w:rsid w:val="004C4012"/>
    <w:rsid w:val="004F7A97"/>
    <w:rsid w:val="005207D1"/>
    <w:rsid w:val="00530018"/>
    <w:rsid w:val="00534552"/>
    <w:rsid w:val="00550F6F"/>
    <w:rsid w:val="005A146E"/>
    <w:rsid w:val="005B3401"/>
    <w:rsid w:val="005C764B"/>
    <w:rsid w:val="005D6CFE"/>
    <w:rsid w:val="005E3442"/>
    <w:rsid w:val="005F79A4"/>
    <w:rsid w:val="006876ED"/>
    <w:rsid w:val="006949E1"/>
    <w:rsid w:val="006A04E9"/>
    <w:rsid w:val="006D7980"/>
    <w:rsid w:val="00716490"/>
    <w:rsid w:val="007228A2"/>
    <w:rsid w:val="00725085"/>
    <w:rsid w:val="0073402C"/>
    <w:rsid w:val="00740287"/>
    <w:rsid w:val="0078264C"/>
    <w:rsid w:val="0078336B"/>
    <w:rsid w:val="007B29F6"/>
    <w:rsid w:val="007D284D"/>
    <w:rsid w:val="008031E8"/>
    <w:rsid w:val="008203E3"/>
    <w:rsid w:val="00822589"/>
    <w:rsid w:val="00856DD7"/>
    <w:rsid w:val="00883BAD"/>
    <w:rsid w:val="00895D8A"/>
    <w:rsid w:val="00937488"/>
    <w:rsid w:val="00973B8A"/>
    <w:rsid w:val="00993194"/>
    <w:rsid w:val="009A1506"/>
    <w:rsid w:val="009A799A"/>
    <w:rsid w:val="009B657C"/>
    <w:rsid w:val="009C7643"/>
    <w:rsid w:val="009F2AEA"/>
    <w:rsid w:val="00A06BFF"/>
    <w:rsid w:val="00A5614A"/>
    <w:rsid w:val="00A97D25"/>
    <w:rsid w:val="00AA4617"/>
    <w:rsid w:val="00AD39E9"/>
    <w:rsid w:val="00AD6839"/>
    <w:rsid w:val="00AE1A99"/>
    <w:rsid w:val="00B33578"/>
    <w:rsid w:val="00B41265"/>
    <w:rsid w:val="00B6008C"/>
    <w:rsid w:val="00B77B62"/>
    <w:rsid w:val="00B93FE3"/>
    <w:rsid w:val="00BF0A07"/>
    <w:rsid w:val="00C162A4"/>
    <w:rsid w:val="00C345CF"/>
    <w:rsid w:val="00C95486"/>
    <w:rsid w:val="00CA1124"/>
    <w:rsid w:val="00CA4E1B"/>
    <w:rsid w:val="00CE3B91"/>
    <w:rsid w:val="00D252DC"/>
    <w:rsid w:val="00D37618"/>
    <w:rsid w:val="00D5445F"/>
    <w:rsid w:val="00D6417F"/>
    <w:rsid w:val="00D76FFE"/>
    <w:rsid w:val="00D953E1"/>
    <w:rsid w:val="00DD327B"/>
    <w:rsid w:val="00ED709F"/>
    <w:rsid w:val="00F30CE2"/>
    <w:rsid w:val="00F47847"/>
    <w:rsid w:val="00F56F16"/>
    <w:rsid w:val="00F740B3"/>
    <w:rsid w:val="00FA34F3"/>
    <w:rsid w:val="0FCF6D72"/>
    <w:rsid w:val="2A231698"/>
    <w:rsid w:val="2B341598"/>
    <w:rsid w:val="2E20186D"/>
    <w:rsid w:val="382A5A4A"/>
    <w:rsid w:val="3ACC7ED7"/>
    <w:rsid w:val="53556623"/>
    <w:rsid w:val="57066D0A"/>
    <w:rsid w:val="58001B1F"/>
    <w:rsid w:val="6CED5EB8"/>
    <w:rsid w:val="6FF674B6"/>
    <w:rsid w:val="70CB5CC1"/>
    <w:rsid w:val="76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nhideWhenUsed="0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Theme="minorHAnsi" w:cstheme="minorBidi"/>
      <w:sz w:val="34"/>
      <w:szCs w:val="22"/>
    </w:rPr>
  </w:style>
  <w:style w:type="paragraph" w:styleId="1">
    <w:name w:val="heading 1"/>
    <w:basedOn w:val="a"/>
    <w:next w:val="a"/>
    <w:qFormat/>
    <w:pPr>
      <w:spacing w:before="360" w:after="360" w:line="400" w:lineRule="exact"/>
      <w:ind w:firstLineChars="1300" w:firstLine="3900"/>
      <w:jc w:val="left"/>
      <w:outlineLvl w:val="0"/>
    </w:pPr>
    <w:rPr>
      <w:rFonts w:ascii="Arial" w:eastAsia="黑体" w:hAnsi="Arial"/>
      <w:kern w:val="44"/>
      <w:sz w:val="30"/>
      <w:szCs w:val="3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rightChars="12" w:right="25" w:firstLineChars="202" w:firstLine="485"/>
    </w:pPr>
    <w:rPr>
      <w:rFonts w:hAnsi="宋体"/>
      <w:sz w:val="24"/>
      <w:szCs w:val="24"/>
    </w:rPr>
  </w:style>
  <w:style w:type="paragraph" w:styleId="a4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20">
    <w:name w:val="Body Text Indent 2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0">
    <w:name w:val="toc 1"/>
    <w:basedOn w:val="a"/>
    <w:next w:val="a"/>
    <w:qFormat/>
    <w:pPr>
      <w:spacing w:before="120" w:after="120" w:line="480" w:lineRule="auto"/>
      <w:ind w:firstLineChars="64" w:firstLine="179"/>
    </w:pPr>
    <w:rPr>
      <w:rFonts w:ascii="Times New Roman"/>
      <w:smallCaps/>
      <w:kern w:val="2"/>
      <w:sz w:val="28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21">
    <w:name w:val="样式 首行缩进:  2 字符"/>
    <w:basedOn w:val="a"/>
    <w:qFormat/>
    <w:pPr>
      <w:spacing w:line="400" w:lineRule="exact"/>
      <w:ind w:firstLineChars="200" w:firstLine="200"/>
    </w:pPr>
    <w:rPr>
      <w:rFonts w:ascii="Times New Roman" w:cs="宋体"/>
      <w:kern w:val="2"/>
      <w:sz w:val="24"/>
      <w:szCs w:val="24"/>
    </w:rPr>
  </w:style>
  <w:style w:type="character" w:customStyle="1" w:styleId="Char">
    <w:name w:val="批注框文本 Char"/>
    <w:basedOn w:val="a0"/>
    <w:link w:val="a5"/>
    <w:qFormat/>
    <w:rPr>
      <w:rFonts w:ascii="宋体" w:eastAsiaTheme="minorEastAsia" w:hAnsiTheme="minorHAnsi" w:cstheme="minorBidi"/>
      <w:sz w:val="18"/>
      <w:szCs w:val="18"/>
    </w:rPr>
  </w:style>
  <w:style w:type="paragraph" w:customStyle="1" w:styleId="aa">
    <w:name w:val="正文首行缩进两字符"/>
    <w:basedOn w:val="a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nhideWhenUsed="0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Theme="minorHAnsi" w:cstheme="minorBidi"/>
      <w:sz w:val="34"/>
      <w:szCs w:val="22"/>
    </w:rPr>
  </w:style>
  <w:style w:type="paragraph" w:styleId="1">
    <w:name w:val="heading 1"/>
    <w:basedOn w:val="a"/>
    <w:next w:val="a"/>
    <w:qFormat/>
    <w:pPr>
      <w:spacing w:before="360" w:after="360" w:line="400" w:lineRule="exact"/>
      <w:ind w:firstLineChars="1300" w:firstLine="3900"/>
      <w:jc w:val="left"/>
      <w:outlineLvl w:val="0"/>
    </w:pPr>
    <w:rPr>
      <w:rFonts w:ascii="Arial" w:eastAsia="黑体" w:hAnsi="Arial"/>
      <w:kern w:val="44"/>
      <w:sz w:val="30"/>
      <w:szCs w:val="3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rightChars="12" w:right="25" w:firstLineChars="202" w:firstLine="485"/>
    </w:pPr>
    <w:rPr>
      <w:rFonts w:hAnsi="宋体"/>
      <w:sz w:val="24"/>
      <w:szCs w:val="24"/>
    </w:rPr>
  </w:style>
  <w:style w:type="paragraph" w:styleId="a4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20">
    <w:name w:val="Body Text Indent 2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0">
    <w:name w:val="toc 1"/>
    <w:basedOn w:val="a"/>
    <w:next w:val="a"/>
    <w:qFormat/>
    <w:pPr>
      <w:spacing w:before="120" w:after="120" w:line="480" w:lineRule="auto"/>
      <w:ind w:firstLineChars="64" w:firstLine="179"/>
    </w:pPr>
    <w:rPr>
      <w:rFonts w:ascii="Times New Roman"/>
      <w:smallCaps/>
      <w:kern w:val="2"/>
      <w:sz w:val="28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21">
    <w:name w:val="样式 首行缩进:  2 字符"/>
    <w:basedOn w:val="a"/>
    <w:qFormat/>
    <w:pPr>
      <w:spacing w:line="400" w:lineRule="exact"/>
      <w:ind w:firstLineChars="200" w:firstLine="200"/>
    </w:pPr>
    <w:rPr>
      <w:rFonts w:ascii="Times New Roman" w:cs="宋体"/>
      <w:kern w:val="2"/>
      <w:sz w:val="24"/>
      <w:szCs w:val="24"/>
    </w:rPr>
  </w:style>
  <w:style w:type="character" w:customStyle="1" w:styleId="Char">
    <w:name w:val="批注框文本 Char"/>
    <w:basedOn w:val="a0"/>
    <w:link w:val="a5"/>
    <w:qFormat/>
    <w:rPr>
      <w:rFonts w:ascii="宋体" w:eastAsiaTheme="minorEastAsia" w:hAnsiTheme="minorHAnsi" w:cstheme="minorBidi"/>
      <w:sz w:val="18"/>
      <w:szCs w:val="18"/>
    </w:rPr>
  </w:style>
  <w:style w:type="paragraph" w:customStyle="1" w:styleId="aa">
    <w:name w:val="正文首行缩进两字符"/>
    <w:basedOn w:val="a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9B58-3109-4321-AEAB-FC20ED6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陈玉梅</cp:lastModifiedBy>
  <cp:revision>80</cp:revision>
  <dcterms:created xsi:type="dcterms:W3CDTF">2018-04-19T02:20:00Z</dcterms:created>
  <dcterms:modified xsi:type="dcterms:W3CDTF">2022-08-09T09:09:00Z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4ECE122B29B6430785E6EB69396E8645</vt:lpwstr>
  </property>
</Properties>
</file>